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6F236EE1" w:rsidR="0090696E" w:rsidRPr="0090696E" w:rsidRDefault="0090696E" w:rsidP="00F70C33">
      <w:pPr>
        <w:jc w:val="center"/>
        <w:rPr>
          <w:rFonts w:ascii="Times New Roman" w:eastAsia="Times New Roman" w:hAnsi="Times New Roman" w:cs="Times New Roman"/>
          <w:b/>
          <w:bCs/>
          <w:kern w:val="0"/>
          <w14:ligatures w14:val="none"/>
        </w:rPr>
      </w:pPr>
      <w:r w:rsidRPr="0090696E">
        <w:rPr>
          <w:rFonts w:ascii="Times New Roman" w:eastAsia="Times New Roman" w:hAnsi="Times New Roman" w:cs="Times New Roman"/>
          <w:b/>
          <w:bCs/>
          <w:kern w:val="0"/>
          <w14:ligatures w14:val="none"/>
        </w:rPr>
        <w:t>Advanced Work Packaging (AWP)</w:t>
      </w:r>
    </w:p>
    <w:p w14:paraId="0B1D7689" w14:textId="1E25B963" w:rsidR="0090696E" w:rsidRPr="0090696E" w:rsidRDefault="0090696E" w:rsidP="00110278">
      <w:pPr>
        <w:jc w:val="both"/>
        <w:rPr>
          <w:rFonts w:ascii="Times New Roman" w:eastAsia="Times New Roman" w:hAnsi="Times New Roman" w:cs="Times New Roman"/>
          <w:kern w:val="0"/>
          <w14:ligatures w14:val="none"/>
        </w:rPr>
      </w:pPr>
      <w:r w:rsidRPr="0090696E">
        <w:rPr>
          <w:rFonts w:ascii="Times New Roman" w:eastAsia="Times New Roman" w:hAnsi="Times New Roman" w:cs="Times New Roman"/>
          <w:kern w:val="0"/>
          <w14:ligatures w14:val="none"/>
        </w:rPr>
        <w:t xml:space="preserve">Advanced Work Packaging (AWP) is an approach developed to improve project planning, predictability, </w:t>
      </w:r>
      <w:proofErr w:type="gramStart"/>
      <w:r w:rsidRPr="0090696E">
        <w:rPr>
          <w:rFonts w:ascii="Times New Roman" w:eastAsia="Times New Roman" w:hAnsi="Times New Roman" w:cs="Times New Roman"/>
          <w:kern w:val="0"/>
          <w14:ligatures w14:val="none"/>
        </w:rPr>
        <w:t>and execution</w:t>
      </w:r>
      <w:proofErr w:type="gramEnd"/>
      <w:r w:rsidRPr="0090696E">
        <w:rPr>
          <w:rFonts w:ascii="Times New Roman" w:eastAsia="Times New Roman" w:hAnsi="Times New Roman" w:cs="Times New Roman"/>
          <w:kern w:val="0"/>
          <w14:ligatures w14:val="none"/>
        </w:rPr>
        <w:t xml:space="preserve"> effectiveness in the construction industry. AWP aims to enhance productivity, reduce costs, and increase the alignment of project stakeholders by implementing structured work packaging processes. Extensive research, such as that by Research Teams (RT) 319, has shown that AWP improves field productivity, safety, cost, schedule adherence, and quality across projects (</w:t>
      </w:r>
      <w:hyperlink r:id="rId4" w:history="1">
        <w:r w:rsidRPr="00845292">
          <w:rPr>
            <w:rStyle w:val="Hyperlink"/>
            <w:rFonts w:ascii="Times New Roman" w:eastAsia="Times New Roman" w:hAnsi="Times New Roman" w:cs="Times New Roman"/>
            <w:kern w:val="0"/>
            <w14:ligatures w14:val="none"/>
          </w:rPr>
          <w:t>RS319-1</w:t>
        </w:r>
      </w:hyperlink>
      <w:r w:rsidRPr="0090696E">
        <w:rPr>
          <w:rFonts w:ascii="Times New Roman" w:eastAsia="Times New Roman" w:hAnsi="Times New Roman" w:cs="Times New Roman"/>
          <w:kern w:val="0"/>
          <w14:ligatures w14:val="none"/>
        </w:rPr>
        <w:t xml:space="preserve">, </w:t>
      </w:r>
      <w:hyperlink r:id="rId5" w:history="1">
        <w:r w:rsidRPr="006A21AD">
          <w:rPr>
            <w:rStyle w:val="Hyperlink"/>
            <w:rFonts w:ascii="Times New Roman" w:eastAsia="Times New Roman" w:hAnsi="Times New Roman" w:cs="Times New Roman"/>
            <w:kern w:val="0"/>
            <w14:ligatures w14:val="none"/>
          </w:rPr>
          <w:t>RR319-11</w:t>
        </w:r>
      </w:hyperlink>
      <w:r w:rsidRPr="0090696E">
        <w:rPr>
          <w:rFonts w:ascii="Times New Roman" w:eastAsia="Times New Roman" w:hAnsi="Times New Roman" w:cs="Times New Roman"/>
          <w:kern w:val="0"/>
          <w14:ligatures w14:val="none"/>
        </w:rPr>
        <w:t>)​.</w:t>
      </w:r>
    </w:p>
    <w:p w14:paraId="67306E51" w14:textId="24476FC6" w:rsidR="0090696E" w:rsidRDefault="0090696E" w:rsidP="00110278">
      <w:pPr>
        <w:jc w:val="both"/>
        <w:rPr>
          <w:rFonts w:ascii="Times New Roman" w:eastAsia="Times New Roman" w:hAnsi="Times New Roman" w:cs="Times New Roman"/>
          <w:kern w:val="0"/>
          <w14:ligatures w14:val="none"/>
        </w:rPr>
      </w:pPr>
      <w:r w:rsidRPr="0090696E">
        <w:rPr>
          <w:rFonts w:ascii="Times New Roman" w:eastAsia="Times New Roman" w:hAnsi="Times New Roman" w:cs="Times New Roman"/>
          <w:kern w:val="0"/>
          <w14:ligatures w14:val="none"/>
        </w:rPr>
        <w:t xml:space="preserve">A core aspect of AWP is its focus on early project phases, beginning with planning and extending </w:t>
      </w:r>
      <w:r w:rsidR="007272A6" w:rsidRPr="0090696E">
        <w:rPr>
          <w:rFonts w:ascii="Times New Roman" w:eastAsia="Times New Roman" w:hAnsi="Times New Roman" w:cs="Times New Roman"/>
          <w:kern w:val="0"/>
          <w14:ligatures w14:val="none"/>
        </w:rPr>
        <w:t>through</w:t>
      </w:r>
      <w:r w:rsidRPr="0090696E">
        <w:rPr>
          <w:rFonts w:ascii="Times New Roman" w:eastAsia="Times New Roman" w:hAnsi="Times New Roman" w:cs="Times New Roman"/>
          <w:kern w:val="0"/>
          <w14:ligatures w14:val="none"/>
        </w:rPr>
        <w:t xml:space="preserve"> construction and turnover. The structured work packages—Construction Work Packages (CWPs), Engineering Work Packages (EWPs), and Installation Work Packages (IWPs)—support constraint-free work fronts and streamline project execution by promoting "beginning with the end in mind." This approach reduces non-productive time and enables seamless transition across project phases (</w:t>
      </w:r>
      <w:hyperlink r:id="rId6" w:history="1">
        <w:r w:rsidRPr="003A3E56">
          <w:rPr>
            <w:rStyle w:val="Hyperlink"/>
            <w:rFonts w:ascii="Times New Roman" w:eastAsia="Times New Roman" w:hAnsi="Times New Roman" w:cs="Times New Roman"/>
            <w:kern w:val="0"/>
            <w14:ligatures w14:val="none"/>
          </w:rPr>
          <w:t>RS272-1</w:t>
        </w:r>
      </w:hyperlink>
      <w:r w:rsidRPr="0090696E">
        <w:rPr>
          <w:rFonts w:ascii="Times New Roman" w:eastAsia="Times New Roman" w:hAnsi="Times New Roman" w:cs="Times New Roman"/>
          <w:kern w:val="0"/>
          <w14:ligatures w14:val="none"/>
        </w:rPr>
        <w:t xml:space="preserve">, </w:t>
      </w:r>
      <w:hyperlink r:id="rId7" w:history="1">
        <w:r w:rsidRPr="003A3E56">
          <w:rPr>
            <w:rStyle w:val="Hyperlink"/>
            <w:rFonts w:ascii="Times New Roman" w:eastAsia="Times New Roman" w:hAnsi="Times New Roman" w:cs="Times New Roman"/>
            <w:kern w:val="0"/>
            <w14:ligatures w14:val="none"/>
          </w:rPr>
          <w:t>IR272-2</w:t>
        </w:r>
      </w:hyperlink>
      <w:r w:rsidRPr="0090696E">
        <w:rPr>
          <w:rFonts w:ascii="Times New Roman" w:eastAsia="Times New Roman" w:hAnsi="Times New Roman" w:cs="Times New Roman"/>
          <w:kern w:val="0"/>
          <w14:ligatures w14:val="none"/>
        </w:rPr>
        <w:t xml:space="preserve">, </w:t>
      </w:r>
      <w:hyperlink r:id="rId8" w:history="1">
        <w:r w:rsidR="003A3E56">
          <w:rPr>
            <w:rStyle w:val="Hyperlink"/>
            <w:rFonts w:ascii="Times New Roman" w:hAnsi="Times New Roman" w:cs="Times New Roman" w:hint="eastAsia"/>
            <w:kern w:val="0"/>
            <w14:ligatures w14:val="none"/>
          </w:rPr>
          <w:t>FR</w:t>
        </w:r>
        <w:r w:rsidRPr="003A3E56">
          <w:rPr>
            <w:rStyle w:val="Hyperlink"/>
            <w:rFonts w:ascii="Times New Roman" w:eastAsia="Times New Roman" w:hAnsi="Times New Roman" w:cs="Times New Roman"/>
            <w:kern w:val="0"/>
            <w14:ligatures w14:val="none"/>
          </w:rPr>
          <w:t>-390</w:t>
        </w:r>
      </w:hyperlink>
      <w:r w:rsidRPr="0090696E">
        <w:rPr>
          <w:rFonts w:ascii="Times New Roman" w:eastAsia="Times New Roman" w:hAnsi="Times New Roman" w:cs="Times New Roman"/>
          <w:kern w:val="0"/>
          <w14:ligatures w14:val="none"/>
        </w:rPr>
        <w:t>)​.</w:t>
      </w:r>
    </w:p>
    <w:p w14:paraId="6B0E4646" w14:textId="7207DA4A" w:rsidR="0090696E" w:rsidRDefault="0090696E" w:rsidP="00110278">
      <w:pPr>
        <w:jc w:val="both"/>
        <w:rPr>
          <w:rFonts w:ascii="Times New Roman" w:eastAsia="Times New Roman" w:hAnsi="Times New Roman" w:cs="Times New Roman"/>
          <w:kern w:val="0"/>
          <w14:ligatures w14:val="none"/>
        </w:rPr>
      </w:pPr>
      <w:r>
        <w:rPr>
          <w:noProof/>
          <w:lang w:eastAsia="en-US"/>
        </w:rPr>
        <w:drawing>
          <wp:inline distT="0" distB="0" distL="0" distR="0" wp14:anchorId="324E2C50" wp14:editId="6126B365">
            <wp:extent cx="5943600" cy="3014980"/>
            <wp:effectExtent l="0" t="0" r="0" b="0"/>
            <wp:docPr id="1465381169" name="Picture 1" descr="A diagram of a work packag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381169" name="Picture 1" descr="A diagram of a work packaging&#10;&#10;Description automatically generated"/>
                    <pic:cNvPicPr/>
                  </pic:nvPicPr>
                  <pic:blipFill>
                    <a:blip r:embed="rId9"/>
                    <a:stretch>
                      <a:fillRect/>
                    </a:stretch>
                  </pic:blipFill>
                  <pic:spPr>
                    <a:xfrm>
                      <a:off x="0" y="0"/>
                      <a:ext cx="5943600" cy="3014980"/>
                    </a:xfrm>
                    <a:prstGeom prst="rect">
                      <a:avLst/>
                    </a:prstGeom>
                  </pic:spPr>
                </pic:pic>
              </a:graphicData>
            </a:graphic>
          </wp:inline>
        </w:drawing>
      </w:r>
    </w:p>
    <w:p w14:paraId="03D577B8" w14:textId="32369E97" w:rsidR="0090696E" w:rsidRPr="00B32BE7" w:rsidRDefault="0090696E" w:rsidP="00D370E9">
      <w:pPr>
        <w:jc w:val="center"/>
        <w:rPr>
          <w:rFonts w:ascii="Times New Roman" w:eastAsia="Times New Roman" w:hAnsi="Times New Roman" w:cs="Times New Roman"/>
          <w:kern w:val="0"/>
          <w14:ligatures w14:val="none"/>
        </w:rPr>
      </w:pPr>
      <w:r w:rsidRPr="00B32BE7">
        <w:rPr>
          <w:rFonts w:ascii="Times New Roman" w:hAnsi="Times New Roman" w:cs="Times New Roman"/>
        </w:rPr>
        <w:t>Figure 1-1. Overview of Advanced Work Packaging across the Project Timeline (</w:t>
      </w:r>
      <w:hyperlink r:id="rId10" w:history="1">
        <w:r w:rsidR="00124507">
          <w:rPr>
            <w:rStyle w:val="Hyperlink"/>
            <w:rFonts w:ascii="Times New Roman" w:hAnsi="Times New Roman" w:cs="Times New Roman" w:hint="eastAsia"/>
            <w:kern w:val="0"/>
            <w14:ligatures w14:val="none"/>
          </w:rPr>
          <w:t>FR</w:t>
        </w:r>
        <w:r w:rsidR="00124507" w:rsidRPr="003A3E56">
          <w:rPr>
            <w:rStyle w:val="Hyperlink"/>
            <w:rFonts w:ascii="Times New Roman" w:eastAsia="Times New Roman" w:hAnsi="Times New Roman" w:cs="Times New Roman"/>
            <w:kern w:val="0"/>
            <w14:ligatures w14:val="none"/>
          </w:rPr>
          <w:t>-390</w:t>
        </w:r>
      </w:hyperlink>
      <w:r w:rsidR="000F06EE" w:rsidRPr="00B32BE7">
        <w:rPr>
          <w:rFonts w:ascii="Times New Roman" w:hAnsi="Times New Roman" w:cs="Times New Roman"/>
        </w:rPr>
        <w:t>)</w:t>
      </w:r>
    </w:p>
    <w:p w14:paraId="0619CE26" w14:textId="08D3CE16" w:rsidR="0090696E" w:rsidRPr="0090696E" w:rsidRDefault="0090696E" w:rsidP="00110278">
      <w:pPr>
        <w:jc w:val="both"/>
        <w:rPr>
          <w:rFonts w:ascii="Times New Roman" w:eastAsia="Times New Roman" w:hAnsi="Times New Roman" w:cs="Times New Roman"/>
          <w:kern w:val="0"/>
          <w14:ligatures w14:val="none"/>
        </w:rPr>
      </w:pPr>
      <w:r w:rsidRPr="0090696E">
        <w:rPr>
          <w:rFonts w:ascii="Times New Roman" w:eastAsia="Times New Roman" w:hAnsi="Times New Roman" w:cs="Times New Roman"/>
          <w:kern w:val="0"/>
          <w14:ligatures w14:val="none"/>
        </w:rPr>
        <w:t>AWP follows an S-curve maturity model, where implementation benefits increase as companies advance in maturity. Early-stage adopters already experience significant benefits, which intensify with sustained AWP practices. The model also prescribes critical tools, such as maturity checklists and Key Performance Indicators (KPIs), to track and optimize performance across productivity, cost, safety, schedule, quality, and predictability dimensions (</w:t>
      </w:r>
      <w:hyperlink r:id="rId11" w:history="1">
        <w:r w:rsidRPr="007F09FB">
          <w:rPr>
            <w:rStyle w:val="Hyperlink"/>
            <w:rFonts w:ascii="Times New Roman" w:eastAsia="Times New Roman" w:hAnsi="Times New Roman" w:cs="Times New Roman"/>
            <w:kern w:val="0"/>
            <w14:ligatures w14:val="none"/>
          </w:rPr>
          <w:t>RR319-11</w:t>
        </w:r>
      </w:hyperlink>
      <w:r w:rsidRPr="0090696E">
        <w:rPr>
          <w:rFonts w:ascii="Times New Roman" w:eastAsia="Times New Roman" w:hAnsi="Times New Roman" w:cs="Times New Roman"/>
          <w:kern w:val="0"/>
          <w14:ligatures w14:val="none"/>
        </w:rPr>
        <w:t>)​.</w:t>
      </w:r>
    </w:p>
    <w:p w14:paraId="33E698CC" w14:textId="3C9AEBB0" w:rsidR="0090696E" w:rsidRPr="0090696E" w:rsidRDefault="0090696E" w:rsidP="00110278">
      <w:pPr>
        <w:jc w:val="both"/>
        <w:rPr>
          <w:rFonts w:ascii="Times New Roman" w:eastAsia="Times New Roman" w:hAnsi="Times New Roman" w:cs="Times New Roman"/>
          <w:kern w:val="0"/>
          <w14:ligatures w14:val="none"/>
        </w:rPr>
      </w:pPr>
      <w:r w:rsidRPr="0090696E">
        <w:rPr>
          <w:rFonts w:ascii="Times New Roman" w:eastAsia="Times New Roman" w:hAnsi="Times New Roman" w:cs="Times New Roman"/>
          <w:kern w:val="0"/>
          <w14:ligatures w14:val="none"/>
        </w:rPr>
        <w:t xml:space="preserve">Research has underscored the complementary nature of AWP with Lean Construction, where AWP’s rigor in planning aligns with Lean’s waste reduction focus. </w:t>
      </w:r>
      <w:r w:rsidR="007C2EA5">
        <w:rPr>
          <w:rFonts w:ascii="Times New Roman" w:eastAsia="Times New Roman" w:hAnsi="Times New Roman" w:cs="Times New Roman"/>
          <w:kern w:val="0"/>
          <w14:ligatures w14:val="none"/>
        </w:rPr>
        <w:t>A collaborative</w:t>
      </w:r>
      <w:r w:rsidRPr="0090696E">
        <w:rPr>
          <w:rFonts w:ascii="Times New Roman" w:eastAsia="Times New Roman" w:hAnsi="Times New Roman" w:cs="Times New Roman"/>
          <w:kern w:val="0"/>
          <w14:ligatures w14:val="none"/>
        </w:rPr>
        <w:t xml:space="preserve"> culture is </w:t>
      </w:r>
      <w:r w:rsidRPr="0090696E">
        <w:rPr>
          <w:rFonts w:ascii="Times New Roman" w:eastAsia="Times New Roman" w:hAnsi="Times New Roman" w:cs="Times New Roman"/>
          <w:kern w:val="0"/>
          <w14:ligatures w14:val="none"/>
        </w:rPr>
        <w:lastRenderedPageBreak/>
        <w:t>essential for maximizing these benefits, as tools alone do not drive AWP and Lean synergies (</w:t>
      </w:r>
      <w:hyperlink r:id="rId12" w:history="1">
        <w:r w:rsidRPr="005A3B65">
          <w:rPr>
            <w:rStyle w:val="Hyperlink"/>
            <w:rFonts w:ascii="Times New Roman" w:eastAsia="Times New Roman" w:hAnsi="Times New Roman" w:cs="Times New Roman"/>
            <w:kern w:val="0"/>
            <w14:ligatures w14:val="none"/>
          </w:rPr>
          <w:t>SR22-01a</w:t>
        </w:r>
      </w:hyperlink>
      <w:r w:rsidRPr="0090696E">
        <w:rPr>
          <w:rFonts w:ascii="Times New Roman" w:eastAsia="Times New Roman" w:hAnsi="Times New Roman" w:cs="Times New Roman"/>
          <w:kern w:val="0"/>
          <w14:ligatures w14:val="none"/>
        </w:rPr>
        <w:t xml:space="preserve">, </w:t>
      </w:r>
      <w:hyperlink r:id="rId13" w:history="1">
        <w:r w:rsidRPr="005A3B65">
          <w:rPr>
            <w:rStyle w:val="Hyperlink"/>
            <w:rFonts w:ascii="Times New Roman" w:eastAsia="Times New Roman" w:hAnsi="Times New Roman" w:cs="Times New Roman"/>
            <w:kern w:val="0"/>
            <w14:ligatures w14:val="none"/>
          </w:rPr>
          <w:t>SR22-01b</w:t>
        </w:r>
      </w:hyperlink>
      <w:r w:rsidRPr="0090696E">
        <w:rPr>
          <w:rFonts w:ascii="Times New Roman" w:eastAsia="Times New Roman" w:hAnsi="Times New Roman" w:cs="Times New Roman"/>
          <w:kern w:val="0"/>
          <w14:ligatures w14:val="none"/>
        </w:rPr>
        <w:t>)​.</w:t>
      </w:r>
    </w:p>
    <w:p w14:paraId="4FC2CE1B" w14:textId="0D446213" w:rsidR="0090696E" w:rsidRPr="0090696E" w:rsidRDefault="0090696E" w:rsidP="00110278">
      <w:pPr>
        <w:jc w:val="both"/>
        <w:rPr>
          <w:rFonts w:ascii="Times New Roman" w:eastAsia="Times New Roman" w:hAnsi="Times New Roman" w:cs="Times New Roman"/>
          <w:kern w:val="0"/>
          <w14:ligatures w14:val="none"/>
        </w:rPr>
      </w:pPr>
      <w:r w:rsidRPr="0090696E">
        <w:rPr>
          <w:rFonts w:ascii="Times New Roman" w:eastAsia="Times New Roman" w:hAnsi="Times New Roman" w:cs="Times New Roman"/>
          <w:kern w:val="0"/>
          <w14:ligatures w14:val="none"/>
        </w:rPr>
        <w:t>Technological advancements, including artificial intelligence and machine learning, offer potential for further enhancement, coined as “intelligent AWP” (</w:t>
      </w:r>
      <w:proofErr w:type="spellStart"/>
      <w:r w:rsidRPr="0090696E">
        <w:rPr>
          <w:rFonts w:ascii="Times New Roman" w:eastAsia="Times New Roman" w:hAnsi="Times New Roman" w:cs="Times New Roman"/>
          <w:kern w:val="0"/>
          <w14:ligatures w14:val="none"/>
        </w:rPr>
        <w:t>iAWP</w:t>
      </w:r>
      <w:proofErr w:type="spellEnd"/>
      <w:r w:rsidRPr="0090696E">
        <w:rPr>
          <w:rFonts w:ascii="Times New Roman" w:eastAsia="Times New Roman" w:hAnsi="Times New Roman" w:cs="Times New Roman"/>
          <w:kern w:val="0"/>
          <w14:ligatures w14:val="none"/>
        </w:rPr>
        <w:t>). This involves optimizing workflows and data-driven insights to improve planning, tracking, and execution processes (</w:t>
      </w:r>
      <w:hyperlink r:id="rId14" w:history="1">
        <w:r w:rsidRPr="005A3B65">
          <w:rPr>
            <w:rStyle w:val="Hyperlink"/>
            <w:rFonts w:ascii="Times New Roman" w:eastAsia="Times New Roman" w:hAnsi="Times New Roman" w:cs="Times New Roman"/>
            <w:kern w:val="0"/>
            <w14:ligatures w14:val="none"/>
          </w:rPr>
          <w:t>FR-391</w:t>
        </w:r>
      </w:hyperlink>
      <w:r w:rsidRPr="0090696E">
        <w:rPr>
          <w:rFonts w:ascii="Times New Roman" w:eastAsia="Times New Roman" w:hAnsi="Times New Roman" w:cs="Times New Roman"/>
          <w:kern w:val="0"/>
          <w14:ligatures w14:val="none"/>
        </w:rPr>
        <w:t>)​</w:t>
      </w:r>
      <w:r>
        <w:rPr>
          <w:rFonts w:ascii="Times New Roman" w:eastAsia="Times New Roman" w:hAnsi="Times New Roman" w:cs="Times New Roman"/>
          <w:kern w:val="0"/>
          <w14:ligatures w14:val="none"/>
        </w:rPr>
        <w:t>.</w:t>
      </w:r>
    </w:p>
    <w:p w14:paraId="036BC6BD" w14:textId="19757CC5" w:rsidR="006814FC" w:rsidRDefault="0090696E" w:rsidP="00110278">
      <w:pPr>
        <w:jc w:val="both"/>
      </w:pPr>
      <w:r w:rsidRPr="0090696E">
        <w:rPr>
          <w:rFonts w:ascii="Times New Roman" w:eastAsia="Times New Roman" w:hAnsi="Times New Roman" w:cs="Times New Roman"/>
          <w:kern w:val="0"/>
          <w14:ligatures w14:val="none"/>
        </w:rPr>
        <w:t>Overall, AWP is presented as a best practice framework that requires cross-functional buy-in, from engineering through to construction teams, for successful implementation. The structured, disciplined nature of AWP ensures the project team is aligned from start to finish, supporting consistent improvements in project outcomes and setting a standard for future industry practices.</w:t>
      </w:r>
    </w:p>
    <w:sectPr w:rsidR="006814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rgUASo71XiwAAAA="/>
  </w:docVars>
  <w:rsids>
    <w:rsidRoot w:val="00B30BC0"/>
    <w:rsid w:val="000374DD"/>
    <w:rsid w:val="000D3987"/>
    <w:rsid w:val="000F06EE"/>
    <w:rsid w:val="00110278"/>
    <w:rsid w:val="00124507"/>
    <w:rsid w:val="0027452F"/>
    <w:rsid w:val="0031002C"/>
    <w:rsid w:val="003A0542"/>
    <w:rsid w:val="003A0A11"/>
    <w:rsid w:val="003A3E56"/>
    <w:rsid w:val="003C53AF"/>
    <w:rsid w:val="00553CF5"/>
    <w:rsid w:val="005A3B65"/>
    <w:rsid w:val="006814FC"/>
    <w:rsid w:val="006A21AD"/>
    <w:rsid w:val="006F4836"/>
    <w:rsid w:val="00724F7D"/>
    <w:rsid w:val="007272A6"/>
    <w:rsid w:val="007769CE"/>
    <w:rsid w:val="007C2EA5"/>
    <w:rsid w:val="007E13D2"/>
    <w:rsid w:val="007F09FB"/>
    <w:rsid w:val="00845292"/>
    <w:rsid w:val="008F34F5"/>
    <w:rsid w:val="0090696E"/>
    <w:rsid w:val="00947E5F"/>
    <w:rsid w:val="00B30BC0"/>
    <w:rsid w:val="00B32BE7"/>
    <w:rsid w:val="00C93A80"/>
    <w:rsid w:val="00D370E9"/>
    <w:rsid w:val="00F70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semiHidden/>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845292"/>
    <w:rPr>
      <w:color w:val="467886" w:themeColor="hyperlink"/>
      <w:u w:val="single"/>
    </w:rPr>
  </w:style>
  <w:style w:type="character" w:styleId="UnresolvedMention">
    <w:name w:val="Unresolved Mention"/>
    <w:basedOn w:val="DefaultParagraphFont"/>
    <w:uiPriority w:val="99"/>
    <w:semiHidden/>
    <w:unhideWhenUsed/>
    <w:rsid w:val="00845292"/>
    <w:rPr>
      <w:color w:val="605E5C"/>
      <w:shd w:val="clear" w:color="auto" w:fill="E1DFDD"/>
    </w:rPr>
  </w:style>
  <w:style w:type="character" w:styleId="FollowedHyperlink">
    <w:name w:val="FollowedHyperlink"/>
    <w:basedOn w:val="DefaultParagraphFont"/>
    <w:uiPriority w:val="99"/>
    <w:semiHidden/>
    <w:unhideWhenUsed/>
    <w:rsid w:val="007C2EA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awp-execution-planning-guide-for-projects-and-organizations" TargetMode="External"/><Relationship Id="rId13" Type="http://schemas.openxmlformats.org/officeDocument/2006/relationships/hyperlink" Target="https://www.construction-institute.org/awp-lean-exploring-opportunities-organizational-culture" TargetMode="External"/><Relationship Id="rId3" Type="http://schemas.openxmlformats.org/officeDocument/2006/relationships/webSettings" Target="webSettings.xml"/><Relationship Id="rId7" Type="http://schemas.openxmlformats.org/officeDocument/2006/relationships/hyperlink" Target="https://www.construction-institute.org/advanced-work-packaging-design-through-workface-execution-version-3-1" TargetMode="External"/><Relationship Id="rId12" Type="http://schemas.openxmlformats.org/officeDocument/2006/relationships/hyperlink" Target="https://www.construction-institute.org/awp-lean-exploring-opportunities-better-together"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onstruction-institute.org/advanced-work-packaging-design-through-workface-execution-version-2-1" TargetMode="External"/><Relationship Id="rId11" Type="http://schemas.openxmlformats.org/officeDocument/2006/relationships/hyperlink" Target="https://www.construction-institute.org/transforming-the-industry-advanced-work-packaging-as-a-standard-best-practice" TargetMode="External"/><Relationship Id="rId5" Type="http://schemas.openxmlformats.org/officeDocument/2006/relationships/hyperlink" Target="https://www.construction-institute.org/transforming-the-industry-advanced-work-packaging-as-a-standard-best-practice" TargetMode="External"/><Relationship Id="rId15" Type="http://schemas.openxmlformats.org/officeDocument/2006/relationships/fontTable" Target="fontTable.xml"/><Relationship Id="rId10" Type="http://schemas.openxmlformats.org/officeDocument/2006/relationships/hyperlink" Target="https://www.construction-institute.org/awp-execution-planning-guide-for-projects-and-organizations" TargetMode="External"/><Relationship Id="rId4" Type="http://schemas.openxmlformats.org/officeDocument/2006/relationships/hyperlink" Target="https://www.construction-institute.org/making-the-case-for-advanced-work-packaging-as-a-standard-best-practice" TargetMode="External"/><Relationship Id="rId9" Type="http://schemas.openxmlformats.org/officeDocument/2006/relationships/image" Target="media/image1.png"/><Relationship Id="rId14" Type="http://schemas.openxmlformats.org/officeDocument/2006/relationships/hyperlink" Target="https://www.construction-institute.org/opportunities-for-artificial-intelligence-machine-learning-and-data-science-in-advanced-work-pac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339</Words>
  <Characters>3464</Characters>
  <Application>Microsoft Office Word</Application>
  <DocSecurity>0</DocSecurity>
  <Lines>51</Lines>
  <Paragraphs>15</Paragraphs>
  <ScaleCrop>false</ScaleCrop>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18</cp:revision>
  <dcterms:created xsi:type="dcterms:W3CDTF">2024-11-05T22:07:00Z</dcterms:created>
  <dcterms:modified xsi:type="dcterms:W3CDTF">2025-02-25T19:11:00Z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1531d01938410c1875506f72832f8fff33ce45b8a2c36b72e3ffc12763861e11</vt:lpwstr>
  </property>
</Properties>
</file>